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DECREASED DUPLICATE TESTING WITH ELECTRONIC MEDICAL RECORDS. A STUDY OF 7,400 NUCLEAR MEDICINE STRESS TESTS </w:t>
      </w:r>
    </w:p>
    <w:p w:rsidR="00B921ED" w:rsidRDefault="00B921ED" w:rsidP="00150A3B">
      <w:pPr>
        <w:widowControl w:val="0"/>
        <w:autoSpaceDE w:val="0"/>
        <w:autoSpaceDN w:val="0"/>
        <w:adjustRightInd w:val="0"/>
      </w:pPr>
      <w:r w:rsidRPr="00150A3B">
        <w:rPr>
          <w:b/>
          <w:bCs/>
          <w:u w:val="single"/>
        </w:rPr>
        <w:t>A</w:t>
      </w:r>
      <w:r w:rsidR="00150A3B" w:rsidRPr="00150A3B">
        <w:rPr>
          <w:b/>
          <w:bCs/>
          <w:u w:val="single"/>
        </w:rPr>
        <w:t>.</w:t>
      </w:r>
      <w:r w:rsidRPr="00150A3B">
        <w:rPr>
          <w:b/>
          <w:bCs/>
          <w:u w:val="single"/>
        </w:rPr>
        <w:t xml:space="preserve"> Avezbadalov</w:t>
      </w:r>
      <w:r w:rsidR="00150A3B" w:rsidRPr="00150A3B">
        <w:rPr>
          <w:b/>
          <w:bCs/>
          <w:u w:val="single"/>
          <w:vertAlign w:val="superscript"/>
        </w:rPr>
        <w:t>1</w:t>
      </w:r>
      <w:r>
        <w:t>, F</w:t>
      </w:r>
      <w:r w:rsidR="00150A3B">
        <w:t>.</w:t>
      </w:r>
      <w:r>
        <w:t xml:space="preserve"> Mushtaq</w:t>
      </w:r>
      <w:r w:rsidR="00150A3B" w:rsidRPr="00150A3B">
        <w:rPr>
          <w:vertAlign w:val="superscript"/>
        </w:rPr>
        <w:t>1</w:t>
      </w:r>
      <w:r>
        <w:t>, P</w:t>
      </w:r>
      <w:r w:rsidR="00150A3B">
        <w:t>.</w:t>
      </w:r>
      <w:r>
        <w:t xml:space="preserve"> Hardigan</w:t>
      </w:r>
      <w:r w:rsidR="00150A3B" w:rsidRPr="00150A3B">
        <w:rPr>
          <w:vertAlign w:val="superscript"/>
        </w:rPr>
        <w:t>2</w:t>
      </w:r>
      <w:r>
        <w:t>, J</w:t>
      </w:r>
      <w:r w:rsidR="00150A3B">
        <w:t>.</w:t>
      </w:r>
      <w:r>
        <w:t>J</w:t>
      </w:r>
      <w:r w:rsidR="00150A3B">
        <w:t>.</w:t>
      </w:r>
      <w:r>
        <w:t xml:space="preserve"> Rozanski</w:t>
      </w:r>
      <w:r w:rsidR="00150A3B" w:rsidRPr="00150A3B">
        <w:rPr>
          <w:vertAlign w:val="superscript"/>
        </w:rPr>
        <w:t>1</w:t>
      </w:r>
      <w:r>
        <w:t>, M</w:t>
      </w:r>
      <w:r w:rsidR="00150A3B">
        <w:t>.</w:t>
      </w:r>
      <w:r>
        <w:t>A</w:t>
      </w:r>
      <w:r w:rsidR="00150A3B">
        <w:t>.</w:t>
      </w:r>
      <w:r>
        <w:t xml:space="preserve"> Chizner</w:t>
      </w:r>
      <w:r w:rsidR="00150A3B" w:rsidRPr="00150A3B">
        <w:rPr>
          <w:vertAlign w:val="superscript"/>
        </w:rPr>
        <w:t>1</w:t>
      </w:r>
    </w:p>
    <w:p w:rsidR="00150A3B" w:rsidRDefault="00150A3B" w:rsidP="00150A3B">
      <w:pPr>
        <w:widowControl w:val="0"/>
        <w:autoSpaceDE w:val="0"/>
        <w:autoSpaceDN w:val="0"/>
        <w:adjustRightInd w:val="0"/>
        <w:rPr>
          <w:color w:val="000000"/>
        </w:rPr>
      </w:pPr>
      <w:r>
        <w:rPr>
          <w:color w:val="000000"/>
        </w:rPr>
        <w:t xml:space="preserve">1. </w:t>
      </w:r>
      <w:r w:rsidR="00B921ED">
        <w:rPr>
          <w:color w:val="000000"/>
        </w:rPr>
        <w:t>The Heart Center of Excellence, NOVA University, Fort Lauderdale, FL, USA</w:t>
      </w:r>
    </w:p>
    <w:p w:rsidR="00B921ED" w:rsidRDefault="00150A3B" w:rsidP="00150A3B">
      <w:pPr>
        <w:widowControl w:val="0"/>
        <w:autoSpaceDE w:val="0"/>
        <w:autoSpaceDN w:val="0"/>
        <w:adjustRightInd w:val="0"/>
        <w:rPr>
          <w:color w:val="503820"/>
        </w:rPr>
      </w:pPr>
      <w:r>
        <w:rPr>
          <w:color w:val="000000"/>
        </w:rPr>
        <w:t xml:space="preserve">2. </w:t>
      </w:r>
      <w:r w:rsidR="00B921ED">
        <w:rPr>
          <w:color w:val="000000"/>
        </w:rPr>
        <w:t>NOVA University, Fort Lauderdale, FL, USA</w:t>
      </w:r>
    </w:p>
    <w:p w:rsidR="00B921ED" w:rsidRDefault="00B921ED">
      <w:pPr>
        <w:widowControl w:val="0"/>
        <w:autoSpaceDE w:val="0"/>
        <w:autoSpaceDN w:val="0"/>
        <w:adjustRightInd w:val="0"/>
      </w:pPr>
    </w:p>
    <w:p w:rsidR="00150A3B" w:rsidRDefault="00B921ED">
      <w:pPr>
        <w:widowControl w:val="0"/>
        <w:autoSpaceDE w:val="0"/>
        <w:autoSpaceDN w:val="0"/>
        <w:adjustRightInd w:val="0"/>
        <w:jc w:val="both"/>
      </w:pPr>
      <w:r w:rsidRPr="00150A3B">
        <w:rPr>
          <w:i/>
          <w:iCs/>
        </w:rPr>
        <w:t>Objective</w:t>
      </w:r>
      <w:r>
        <w:t xml:space="preserve">: Duplicate testing increases health care costs and exposes patients to unnecessary harms of testing. The electronic medical record (EMR) has been widely accepted and utilized to reduce duplicate testing. Nevertheless, there are institutions that have reported an increase in repeat testing. This has been attributed to the ease of ordering and usage of </w:t>
      </w:r>
      <w:proofErr w:type="gramStart"/>
      <w:r>
        <w:t>electronic</w:t>
      </w:r>
      <w:proofErr w:type="gramEnd"/>
      <w:r>
        <w:t xml:space="preserve"> order sets. We sought to evaluate the difference in the number of duplicate nuclear medicine stress tests (NST) before and after the implementation of an EMR at our urban medical center.  </w:t>
      </w:r>
    </w:p>
    <w:p w:rsidR="00150A3B" w:rsidRDefault="00B921ED">
      <w:pPr>
        <w:widowControl w:val="0"/>
        <w:autoSpaceDE w:val="0"/>
        <w:autoSpaceDN w:val="0"/>
        <w:adjustRightInd w:val="0"/>
        <w:jc w:val="both"/>
      </w:pPr>
      <w:r w:rsidRPr="00150A3B">
        <w:rPr>
          <w:i/>
          <w:iCs/>
        </w:rPr>
        <w:t>Methods</w:t>
      </w:r>
      <w:r>
        <w:t>: This is a single center retrospective analysis of all NST’s performed at our institution in the period of 1 year prior to, and 1 and 2 years after the implementation of EMR. The NST’s were reviewed to assess the number of patients who underwent duplicate testing within 6 and 12 months of the index NST (Table 1).</w:t>
      </w:r>
    </w:p>
    <w:p w:rsidR="00150A3B" w:rsidRPr="009013A1" w:rsidRDefault="00150A3B" w:rsidP="00150A3B">
      <w:pPr>
        <w:tabs>
          <w:tab w:val="left" w:pos="5024"/>
        </w:tabs>
      </w:pPr>
      <w:r w:rsidRPr="00150A3B">
        <w:rPr>
          <w:i/>
          <w:iCs/>
        </w:rPr>
        <w:t>Results</w:t>
      </w:r>
      <w:r>
        <w:t xml:space="preserve">: </w:t>
      </w:r>
    </w:p>
    <w:tbl>
      <w:tblPr>
        <w:tblW w:w="9378" w:type="dxa"/>
        <w:tblBorders>
          <w:top w:val="single" w:sz="4" w:space="0" w:color="auto"/>
          <w:bottom w:val="single" w:sz="4" w:space="0" w:color="auto"/>
          <w:insideH w:val="single" w:sz="4" w:space="0" w:color="auto"/>
        </w:tblBorders>
        <w:tblLook w:val="04A0" w:firstRow="1" w:lastRow="0" w:firstColumn="1" w:lastColumn="0" w:noHBand="0" w:noVBand="1"/>
      </w:tblPr>
      <w:tblGrid>
        <w:gridCol w:w="2448"/>
        <w:gridCol w:w="1710"/>
        <w:gridCol w:w="1710"/>
        <w:gridCol w:w="1710"/>
        <w:gridCol w:w="1800"/>
      </w:tblGrid>
      <w:tr w:rsidR="00150A3B" w:rsidRPr="00BD026D" w:rsidTr="000A1328">
        <w:trPr>
          <w:trHeight w:val="432"/>
        </w:trPr>
        <w:tc>
          <w:tcPr>
            <w:tcW w:w="2448" w:type="dxa"/>
            <w:shd w:val="clear" w:color="auto" w:fill="auto"/>
          </w:tcPr>
          <w:p w:rsidR="00150A3B" w:rsidRPr="00BD026D" w:rsidRDefault="00150A3B" w:rsidP="000A1328">
            <w:pPr>
              <w:widowControl w:val="0"/>
              <w:autoSpaceDE w:val="0"/>
              <w:autoSpaceDN w:val="0"/>
              <w:adjustRightInd w:val="0"/>
              <w:rPr>
                <w:rFonts w:eastAsiaTheme="minorHAnsi" w:cstheme="minorBidi"/>
                <w:sz w:val="16"/>
                <w:szCs w:val="22"/>
              </w:rPr>
            </w:pPr>
          </w:p>
        </w:tc>
        <w:tc>
          <w:tcPr>
            <w:tcW w:w="1710" w:type="dxa"/>
            <w:shd w:val="clear" w:color="auto" w:fill="auto"/>
          </w:tcPr>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July 2011 – June 2012</w:t>
            </w:r>
          </w:p>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(Pre-EMR)</w:t>
            </w:r>
          </w:p>
        </w:tc>
        <w:tc>
          <w:tcPr>
            <w:tcW w:w="1710" w:type="dxa"/>
            <w:shd w:val="clear" w:color="auto" w:fill="auto"/>
          </w:tcPr>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July 2013 – June 2014</w:t>
            </w:r>
          </w:p>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(EMR year 1)</w:t>
            </w:r>
          </w:p>
        </w:tc>
        <w:tc>
          <w:tcPr>
            <w:tcW w:w="1710" w:type="dxa"/>
            <w:shd w:val="clear" w:color="auto" w:fill="auto"/>
          </w:tcPr>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July 2014 – June 2015</w:t>
            </w:r>
          </w:p>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(EMR year 2)</w:t>
            </w:r>
          </w:p>
        </w:tc>
        <w:tc>
          <w:tcPr>
            <w:tcW w:w="1800" w:type="dxa"/>
            <w:shd w:val="clear" w:color="auto" w:fill="auto"/>
          </w:tcPr>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P Value</w:t>
            </w:r>
          </w:p>
          <w:p w:rsidR="00150A3B" w:rsidRPr="00BD026D" w:rsidRDefault="00150A3B" w:rsidP="000A1328">
            <w:pPr>
              <w:widowControl w:val="0"/>
              <w:autoSpaceDE w:val="0"/>
              <w:autoSpaceDN w:val="0"/>
              <w:adjustRightInd w:val="0"/>
              <w:ind w:left="130" w:hanging="130"/>
              <w:jc w:val="center"/>
              <w:rPr>
                <w:rFonts w:eastAsiaTheme="minorHAnsi" w:cstheme="minorBidi"/>
                <w:sz w:val="16"/>
                <w:szCs w:val="22"/>
              </w:rPr>
            </w:pPr>
            <w:r w:rsidRPr="00BD026D">
              <w:rPr>
                <w:rFonts w:eastAsiaTheme="minorHAnsi" w:cstheme="minorBidi"/>
                <w:sz w:val="16"/>
                <w:szCs w:val="22"/>
              </w:rPr>
              <w:t>(for comparison of pre-EMR to both 1 and 2 years post-EMR)</w:t>
            </w:r>
          </w:p>
        </w:tc>
      </w:tr>
      <w:tr w:rsidR="00150A3B" w:rsidRPr="00BD026D" w:rsidTr="000A1328">
        <w:trPr>
          <w:trHeight w:val="432"/>
        </w:trPr>
        <w:tc>
          <w:tcPr>
            <w:tcW w:w="2448" w:type="dxa"/>
            <w:shd w:val="clear" w:color="auto" w:fill="auto"/>
          </w:tcPr>
          <w:p w:rsidR="00150A3B" w:rsidRPr="00BD026D" w:rsidRDefault="00150A3B" w:rsidP="000A1328">
            <w:pPr>
              <w:widowControl w:val="0"/>
              <w:autoSpaceDE w:val="0"/>
              <w:autoSpaceDN w:val="0"/>
              <w:adjustRightInd w:val="0"/>
              <w:rPr>
                <w:rFonts w:eastAsiaTheme="minorHAnsi" w:cstheme="minorBidi"/>
                <w:sz w:val="16"/>
                <w:szCs w:val="22"/>
              </w:rPr>
            </w:pPr>
            <w:r w:rsidRPr="00BD026D">
              <w:rPr>
                <w:rFonts w:eastAsiaTheme="minorHAnsi" w:cstheme="minorBidi"/>
                <w:sz w:val="16"/>
                <w:szCs w:val="22"/>
              </w:rPr>
              <w:t>Number of NST</w:t>
            </w:r>
          </w:p>
        </w:tc>
        <w:tc>
          <w:tcPr>
            <w:tcW w:w="1710" w:type="dxa"/>
            <w:shd w:val="clear" w:color="auto" w:fill="auto"/>
          </w:tcPr>
          <w:p w:rsidR="00150A3B" w:rsidRPr="00BD026D" w:rsidRDefault="00150A3B" w:rsidP="000A1328">
            <w:pPr>
              <w:ind w:left="134" w:hanging="134"/>
              <w:jc w:val="center"/>
              <w:rPr>
                <w:rFonts w:eastAsiaTheme="minorHAnsi" w:cstheme="minorBidi"/>
                <w:sz w:val="16"/>
                <w:szCs w:val="22"/>
              </w:rPr>
            </w:pPr>
            <w:r w:rsidRPr="00BD026D">
              <w:rPr>
                <w:rFonts w:eastAsiaTheme="minorHAnsi" w:cstheme="minorBidi"/>
                <w:sz w:val="16"/>
                <w:szCs w:val="22"/>
              </w:rPr>
              <w:t>2876</w:t>
            </w:r>
          </w:p>
        </w:tc>
        <w:tc>
          <w:tcPr>
            <w:tcW w:w="1710" w:type="dxa"/>
            <w:shd w:val="clear" w:color="auto" w:fill="auto"/>
          </w:tcPr>
          <w:p w:rsidR="00150A3B" w:rsidRPr="00BD026D" w:rsidRDefault="00150A3B" w:rsidP="000A1328">
            <w:pPr>
              <w:ind w:left="134" w:hanging="134"/>
              <w:jc w:val="center"/>
              <w:rPr>
                <w:rFonts w:eastAsiaTheme="minorHAnsi" w:cstheme="minorBidi"/>
                <w:sz w:val="16"/>
                <w:szCs w:val="22"/>
              </w:rPr>
            </w:pPr>
            <w:r w:rsidRPr="00BD026D">
              <w:rPr>
                <w:rFonts w:eastAsiaTheme="minorHAnsi" w:cstheme="minorBidi"/>
                <w:sz w:val="16"/>
                <w:szCs w:val="22"/>
              </w:rPr>
              <w:t>2467</w:t>
            </w:r>
          </w:p>
        </w:tc>
        <w:tc>
          <w:tcPr>
            <w:tcW w:w="1710" w:type="dxa"/>
            <w:shd w:val="clear" w:color="auto" w:fill="auto"/>
          </w:tcPr>
          <w:p w:rsidR="00150A3B" w:rsidRPr="00BD026D" w:rsidRDefault="00150A3B" w:rsidP="000A1328">
            <w:pPr>
              <w:ind w:left="134" w:hanging="134"/>
              <w:jc w:val="center"/>
              <w:rPr>
                <w:rFonts w:eastAsiaTheme="minorHAnsi" w:cstheme="minorBidi"/>
                <w:sz w:val="16"/>
                <w:szCs w:val="22"/>
              </w:rPr>
            </w:pPr>
            <w:r w:rsidRPr="00BD026D">
              <w:rPr>
                <w:rFonts w:eastAsiaTheme="minorHAnsi" w:cstheme="minorBidi"/>
                <w:sz w:val="16"/>
                <w:szCs w:val="22"/>
              </w:rPr>
              <w:t>2103</w:t>
            </w:r>
          </w:p>
        </w:tc>
        <w:tc>
          <w:tcPr>
            <w:tcW w:w="180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p>
        </w:tc>
      </w:tr>
      <w:tr w:rsidR="00150A3B" w:rsidRPr="00BD026D" w:rsidTr="000A1328">
        <w:trPr>
          <w:trHeight w:val="432"/>
        </w:trPr>
        <w:tc>
          <w:tcPr>
            <w:tcW w:w="2448" w:type="dxa"/>
            <w:shd w:val="clear" w:color="auto" w:fill="auto"/>
          </w:tcPr>
          <w:p w:rsidR="00150A3B" w:rsidRPr="00BD026D" w:rsidRDefault="00150A3B" w:rsidP="000A1328">
            <w:pPr>
              <w:widowControl w:val="0"/>
              <w:autoSpaceDE w:val="0"/>
              <w:autoSpaceDN w:val="0"/>
              <w:adjustRightInd w:val="0"/>
              <w:rPr>
                <w:rFonts w:eastAsiaTheme="minorHAnsi" w:cstheme="minorBidi"/>
                <w:sz w:val="16"/>
                <w:szCs w:val="22"/>
              </w:rPr>
            </w:pPr>
            <w:r w:rsidRPr="00BD026D">
              <w:rPr>
                <w:rFonts w:eastAsiaTheme="minorHAnsi" w:cstheme="minorBidi"/>
                <w:sz w:val="16"/>
                <w:szCs w:val="22"/>
              </w:rPr>
              <w:t>Repeat NST 6 months of unique NST</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46</w:t>
            </w:r>
          </w:p>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(1.6%)</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25</w:t>
            </w:r>
          </w:p>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(1.2%)</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20</w:t>
            </w:r>
          </w:p>
          <w:p w:rsidR="00150A3B" w:rsidRPr="00BD026D" w:rsidRDefault="00150A3B" w:rsidP="000A1328">
            <w:pPr>
              <w:widowControl w:val="0"/>
              <w:autoSpaceDE w:val="0"/>
              <w:autoSpaceDN w:val="0"/>
              <w:adjustRightInd w:val="0"/>
              <w:jc w:val="center"/>
              <w:rPr>
                <w:rFonts w:eastAsiaTheme="minorHAnsi" w:cstheme="minorBidi"/>
                <w:sz w:val="16"/>
                <w:szCs w:val="22"/>
              </w:rPr>
            </w:pPr>
            <w:r w:rsidRPr="00BD026D">
              <w:rPr>
                <w:rFonts w:eastAsiaTheme="minorHAnsi" w:cstheme="minorBidi"/>
                <w:sz w:val="16"/>
                <w:szCs w:val="22"/>
              </w:rPr>
              <w:t>(0.9%)</w:t>
            </w:r>
          </w:p>
        </w:tc>
        <w:tc>
          <w:tcPr>
            <w:tcW w:w="180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i/>
                <w:sz w:val="16"/>
                <w:szCs w:val="22"/>
              </w:rPr>
              <w:t>p</w:t>
            </w:r>
            <w:r w:rsidRPr="00BD026D">
              <w:rPr>
                <w:rFonts w:eastAsiaTheme="minorHAnsi" w:cstheme="minorBidi"/>
                <w:sz w:val="16"/>
                <w:szCs w:val="22"/>
              </w:rPr>
              <w:t xml:space="preserve"> &lt; 0.001</w:t>
            </w:r>
          </w:p>
        </w:tc>
      </w:tr>
      <w:tr w:rsidR="00150A3B" w:rsidRPr="00BD026D" w:rsidTr="000A1328">
        <w:trPr>
          <w:trHeight w:val="432"/>
        </w:trPr>
        <w:tc>
          <w:tcPr>
            <w:tcW w:w="2448" w:type="dxa"/>
            <w:shd w:val="clear" w:color="auto" w:fill="auto"/>
          </w:tcPr>
          <w:p w:rsidR="00150A3B" w:rsidRPr="00BD026D" w:rsidRDefault="00150A3B" w:rsidP="000A1328">
            <w:pPr>
              <w:widowControl w:val="0"/>
              <w:autoSpaceDE w:val="0"/>
              <w:autoSpaceDN w:val="0"/>
              <w:adjustRightInd w:val="0"/>
              <w:rPr>
                <w:rFonts w:eastAsiaTheme="minorHAnsi" w:cstheme="minorBidi"/>
                <w:sz w:val="16"/>
                <w:szCs w:val="22"/>
              </w:rPr>
            </w:pPr>
            <w:r w:rsidRPr="00BD026D">
              <w:rPr>
                <w:rFonts w:eastAsiaTheme="minorHAnsi" w:cstheme="minorBidi"/>
                <w:sz w:val="16"/>
                <w:szCs w:val="22"/>
              </w:rPr>
              <w:t>Change in duplicate testing at 6 months from 2012</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-45.6%</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-56.5%</w:t>
            </w:r>
          </w:p>
        </w:tc>
        <w:tc>
          <w:tcPr>
            <w:tcW w:w="180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p>
        </w:tc>
      </w:tr>
      <w:tr w:rsidR="00150A3B" w:rsidRPr="00BD026D" w:rsidTr="000A1328">
        <w:trPr>
          <w:trHeight w:val="432"/>
        </w:trPr>
        <w:tc>
          <w:tcPr>
            <w:tcW w:w="2448" w:type="dxa"/>
            <w:shd w:val="clear" w:color="auto" w:fill="auto"/>
          </w:tcPr>
          <w:p w:rsidR="00150A3B" w:rsidRPr="00BD026D" w:rsidRDefault="00150A3B" w:rsidP="000A1328">
            <w:pPr>
              <w:widowControl w:val="0"/>
              <w:autoSpaceDE w:val="0"/>
              <w:autoSpaceDN w:val="0"/>
              <w:adjustRightInd w:val="0"/>
              <w:rPr>
                <w:rFonts w:eastAsiaTheme="minorHAnsi" w:cstheme="minorBidi"/>
                <w:sz w:val="16"/>
                <w:szCs w:val="22"/>
              </w:rPr>
            </w:pPr>
            <w:r w:rsidRPr="00BD026D">
              <w:rPr>
                <w:rFonts w:eastAsiaTheme="minorHAnsi" w:cstheme="minorBidi"/>
                <w:sz w:val="16"/>
                <w:szCs w:val="22"/>
              </w:rPr>
              <w:t>Repeat NST 12 months of unique NST</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148</w:t>
            </w:r>
          </w:p>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(5.2%)</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76</w:t>
            </w:r>
          </w:p>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(3.1%)</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72</w:t>
            </w:r>
          </w:p>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(3.5%)</w:t>
            </w:r>
          </w:p>
        </w:tc>
        <w:tc>
          <w:tcPr>
            <w:tcW w:w="180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i/>
                <w:sz w:val="16"/>
                <w:szCs w:val="22"/>
              </w:rPr>
              <w:t>p</w:t>
            </w:r>
            <w:r w:rsidRPr="00BD026D">
              <w:rPr>
                <w:rFonts w:eastAsiaTheme="minorHAnsi" w:cstheme="minorBidi"/>
                <w:sz w:val="16"/>
                <w:szCs w:val="22"/>
              </w:rPr>
              <w:t xml:space="preserve"> &lt; 0.001</w:t>
            </w:r>
          </w:p>
        </w:tc>
      </w:tr>
      <w:tr w:rsidR="00150A3B" w:rsidRPr="00BD026D" w:rsidTr="000A1328">
        <w:trPr>
          <w:trHeight w:val="432"/>
        </w:trPr>
        <w:tc>
          <w:tcPr>
            <w:tcW w:w="2448" w:type="dxa"/>
            <w:shd w:val="clear" w:color="auto" w:fill="auto"/>
          </w:tcPr>
          <w:p w:rsidR="00150A3B" w:rsidRPr="00BD026D" w:rsidRDefault="00150A3B" w:rsidP="000A1328">
            <w:pPr>
              <w:widowControl w:val="0"/>
              <w:autoSpaceDE w:val="0"/>
              <w:autoSpaceDN w:val="0"/>
              <w:adjustRightInd w:val="0"/>
              <w:rPr>
                <w:rFonts w:eastAsiaTheme="minorHAnsi" w:cstheme="minorBidi"/>
                <w:sz w:val="16"/>
                <w:szCs w:val="22"/>
              </w:rPr>
            </w:pPr>
            <w:r w:rsidRPr="00BD026D">
              <w:rPr>
                <w:rFonts w:eastAsiaTheme="minorHAnsi" w:cstheme="minorBidi"/>
                <w:sz w:val="16"/>
                <w:szCs w:val="22"/>
              </w:rPr>
              <w:t>Change in duplicate testing at 12 months from 2012</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-40.6%</w:t>
            </w:r>
          </w:p>
        </w:tc>
        <w:tc>
          <w:tcPr>
            <w:tcW w:w="171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r w:rsidRPr="00BD026D">
              <w:rPr>
                <w:rFonts w:eastAsiaTheme="minorHAnsi" w:cstheme="minorBidi"/>
                <w:sz w:val="16"/>
                <w:szCs w:val="22"/>
              </w:rPr>
              <w:t>-51.4%</w:t>
            </w:r>
          </w:p>
        </w:tc>
        <w:tc>
          <w:tcPr>
            <w:tcW w:w="1800" w:type="dxa"/>
            <w:shd w:val="clear" w:color="auto" w:fill="auto"/>
          </w:tcPr>
          <w:p w:rsidR="00150A3B" w:rsidRPr="00BD026D" w:rsidRDefault="00150A3B" w:rsidP="000A1328">
            <w:pPr>
              <w:widowControl w:val="0"/>
              <w:autoSpaceDE w:val="0"/>
              <w:autoSpaceDN w:val="0"/>
              <w:adjustRightInd w:val="0"/>
              <w:ind w:left="134" w:hanging="134"/>
              <w:jc w:val="center"/>
              <w:rPr>
                <w:rFonts w:eastAsiaTheme="minorHAnsi" w:cstheme="minorBidi"/>
                <w:sz w:val="16"/>
                <w:szCs w:val="22"/>
              </w:rPr>
            </w:pPr>
          </w:p>
        </w:tc>
      </w:tr>
    </w:tbl>
    <w:p w:rsidR="00150A3B" w:rsidRDefault="00150A3B" w:rsidP="00150A3B">
      <w:pPr>
        <w:tabs>
          <w:tab w:val="left" w:pos="5024"/>
        </w:tabs>
      </w:pPr>
      <w:r>
        <w:t>Table 1</w:t>
      </w:r>
    </w:p>
    <w:p w:rsidR="00150A3B" w:rsidRDefault="00150A3B">
      <w:pPr>
        <w:widowControl w:val="0"/>
        <w:autoSpaceDE w:val="0"/>
        <w:autoSpaceDN w:val="0"/>
        <w:adjustRightInd w:val="0"/>
      </w:pPr>
    </w:p>
    <w:p w:rsidR="00150A3B" w:rsidRDefault="00150A3B" w:rsidP="00150A3B">
      <w:pPr>
        <w:widowControl w:val="0"/>
        <w:autoSpaceDE w:val="0"/>
        <w:autoSpaceDN w:val="0"/>
        <w:adjustRightInd w:val="0"/>
        <w:jc w:val="both"/>
      </w:pPr>
      <w:r w:rsidRPr="00150A3B">
        <w:rPr>
          <w:i/>
          <w:iCs/>
        </w:rPr>
        <w:t>Conclusion</w:t>
      </w:r>
      <w:r>
        <w:t xml:space="preserve">: After the implementation of EMR, there was a significant reduction in </w:t>
      </w:r>
      <w:bookmarkStart w:id="0" w:name="_GoBack"/>
      <w:bookmarkEnd w:id="0"/>
      <w:r>
        <w:t>duplicate testing of NST’s. These results were significant at both 1 and 2 years after implementing EMR. We hypothesize that electronic notifications and ease of accessibility to previous results attributed to this decrease. We found no significant difference between duplicate testing at years 1 and 2 post-EMR.</w:t>
      </w:r>
    </w:p>
    <w:sectPr w:rsidR="00150A3B">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46" w:rsidRDefault="008F3146" w:rsidP="00150A3B">
      <w:r>
        <w:separator/>
      </w:r>
    </w:p>
  </w:endnote>
  <w:endnote w:type="continuationSeparator" w:id="0">
    <w:p w:rsidR="008F3146" w:rsidRDefault="008F3146" w:rsidP="0015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46" w:rsidRDefault="008F3146" w:rsidP="00150A3B">
      <w:r>
        <w:separator/>
      </w:r>
    </w:p>
  </w:footnote>
  <w:footnote w:type="continuationSeparator" w:id="0">
    <w:p w:rsidR="008F3146" w:rsidRDefault="008F3146" w:rsidP="00150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3B" w:rsidRDefault="00150A3B" w:rsidP="00150A3B">
    <w:pPr>
      <w:pStyle w:val="Header"/>
    </w:pPr>
    <w:r>
      <w:t xml:space="preserve">1246     either     Cat: </w:t>
    </w:r>
    <w:r>
      <w:rPr>
        <w:rFonts w:ascii="Arial" w:hAnsi="Arial" w:cs="Arial"/>
        <w:color w:val="222222"/>
        <w:sz w:val="19"/>
        <w:szCs w:val="19"/>
        <w:shd w:val="clear" w:color="auto" w:fill="FFFFFF"/>
      </w:rPr>
      <w:t>Practice guidelines, cost containment</w:t>
    </w:r>
  </w:p>
  <w:p w:rsidR="00150A3B" w:rsidRDefault="00150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50A3B"/>
    <w:rsid w:val="00297F5A"/>
    <w:rsid w:val="00447B2F"/>
    <w:rsid w:val="008F314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4651B7-DEB2-4E23-A3EA-E175B42A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A3B"/>
    <w:pPr>
      <w:tabs>
        <w:tab w:val="center" w:pos="4680"/>
        <w:tab w:val="right" w:pos="9360"/>
      </w:tabs>
    </w:pPr>
  </w:style>
  <w:style w:type="character" w:customStyle="1" w:styleId="HeaderChar">
    <w:name w:val="Header Char"/>
    <w:basedOn w:val="DefaultParagraphFont"/>
    <w:link w:val="Header"/>
    <w:uiPriority w:val="99"/>
    <w:rsid w:val="00150A3B"/>
    <w:rPr>
      <w:sz w:val="24"/>
      <w:szCs w:val="24"/>
    </w:rPr>
  </w:style>
  <w:style w:type="paragraph" w:styleId="Footer">
    <w:name w:val="footer"/>
    <w:basedOn w:val="Normal"/>
    <w:link w:val="FooterChar"/>
    <w:uiPriority w:val="99"/>
    <w:unhideWhenUsed/>
    <w:rsid w:val="00150A3B"/>
    <w:pPr>
      <w:tabs>
        <w:tab w:val="center" w:pos="4680"/>
        <w:tab w:val="right" w:pos="9360"/>
      </w:tabs>
    </w:pPr>
  </w:style>
  <w:style w:type="character" w:customStyle="1" w:styleId="FooterChar">
    <w:name w:val="Footer Char"/>
    <w:basedOn w:val="DefaultParagraphFont"/>
    <w:link w:val="Footer"/>
    <w:uiPriority w:val="99"/>
    <w:rsid w:val="00150A3B"/>
    <w:rPr>
      <w:sz w:val="24"/>
      <w:szCs w:val="24"/>
    </w:rPr>
  </w:style>
  <w:style w:type="paragraph" w:styleId="ListParagraph">
    <w:name w:val="List Paragraph"/>
    <w:basedOn w:val="Normal"/>
    <w:uiPriority w:val="34"/>
    <w:qFormat/>
    <w:rsid w:val="0015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2016-03-10T10:37:00Z</dcterms:created>
  <dcterms:modified xsi:type="dcterms:W3CDTF">2016-03-10T10:41:00Z</dcterms:modified>
</cp:coreProperties>
</file>